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2DC" w:rsidRPr="00281FA9" w:rsidRDefault="000862DC" w:rsidP="000862DC">
      <w:pPr>
        <w:pStyle w:val="1"/>
        <w:jc w:val="right"/>
        <w:rPr>
          <w:lang w:bidi="ru-RU"/>
        </w:rPr>
      </w:pPr>
      <w:bookmarkStart w:id="0" w:name="_Toc159934686"/>
      <w:bookmarkStart w:id="1" w:name="_GoBack"/>
      <w:bookmarkEnd w:id="1"/>
      <w:r w:rsidRPr="00281FA9">
        <w:rPr>
          <w:lang w:bidi="ru-RU"/>
        </w:rPr>
        <w:t xml:space="preserve">Приложение </w:t>
      </w:r>
      <w:r>
        <w:rPr>
          <w:lang w:bidi="ru-RU"/>
        </w:rPr>
        <w:t>5</w:t>
      </w:r>
      <w:bookmarkEnd w:id="0"/>
      <w:r w:rsidRPr="00281FA9">
        <w:rPr>
          <w:lang w:bidi="ru-RU"/>
        </w:rPr>
        <w:t xml:space="preserve"> </w:t>
      </w:r>
    </w:p>
    <w:p w:rsidR="000862DC" w:rsidRPr="0083103D" w:rsidRDefault="000862DC" w:rsidP="000862DC">
      <w:pPr>
        <w:suppressAutoHyphens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Достижение показателей оценки эффективности деятельности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br/>
        <w:t xml:space="preserve">ГАОУ ДПО СО «ИРО» за 2020–2022 гг.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2011"/>
        <w:gridCol w:w="5219"/>
        <w:gridCol w:w="993"/>
        <w:gridCol w:w="992"/>
        <w:gridCol w:w="992"/>
      </w:tblGrid>
      <w:tr w:rsidR="000862DC" w:rsidRPr="00C63DF8" w:rsidTr="00BB633C">
        <w:trPr>
          <w:trHeight w:val="300"/>
        </w:trPr>
        <w:tc>
          <w:tcPr>
            <w:tcW w:w="2011" w:type="dxa"/>
            <w:vMerge w:val="restart"/>
            <w:shd w:val="clear" w:color="auto" w:fill="9CC2E5" w:themeFill="accent1" w:themeFillTint="99"/>
            <w:noWrap/>
            <w:hideMark/>
          </w:tcPr>
          <w:p w:rsidR="000862DC" w:rsidRPr="00C63DF8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63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показателей</w:t>
            </w:r>
          </w:p>
        </w:tc>
        <w:tc>
          <w:tcPr>
            <w:tcW w:w="5219" w:type="dxa"/>
            <w:vMerge w:val="restart"/>
            <w:shd w:val="clear" w:color="auto" w:fill="9CC2E5" w:themeFill="accent1" w:themeFillTint="99"/>
            <w:hideMark/>
          </w:tcPr>
          <w:p w:rsidR="000862DC" w:rsidRPr="00C63DF8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2977" w:type="dxa"/>
            <w:gridSpan w:val="3"/>
            <w:shd w:val="clear" w:color="auto" w:fill="9CC2E5" w:themeFill="accent1" w:themeFillTint="99"/>
            <w:noWrap/>
            <w:hideMark/>
          </w:tcPr>
          <w:p w:rsidR="000862DC" w:rsidRPr="00C63DF8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Процент исполнения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63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показателей</w:t>
            </w:r>
          </w:p>
        </w:tc>
      </w:tr>
      <w:tr w:rsidR="000862DC" w:rsidRPr="00C63DF8" w:rsidTr="00BB633C">
        <w:trPr>
          <w:trHeight w:val="300"/>
        </w:trPr>
        <w:tc>
          <w:tcPr>
            <w:tcW w:w="2011" w:type="dxa"/>
            <w:vMerge/>
            <w:shd w:val="clear" w:color="auto" w:fill="9CC2E5" w:themeFill="accent1" w:themeFillTint="99"/>
            <w:hideMark/>
          </w:tcPr>
          <w:p w:rsidR="000862DC" w:rsidRPr="00C63DF8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9" w:type="dxa"/>
            <w:vMerge/>
            <w:shd w:val="clear" w:color="auto" w:fill="9CC2E5" w:themeFill="accent1" w:themeFillTint="99"/>
            <w:hideMark/>
          </w:tcPr>
          <w:p w:rsidR="000862DC" w:rsidRPr="00C63DF8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9CC2E5" w:themeFill="accent1" w:themeFillTint="99"/>
            <w:noWrap/>
            <w:hideMark/>
          </w:tcPr>
          <w:p w:rsidR="000862DC" w:rsidRPr="00C63DF8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9CC2E5" w:themeFill="accent1" w:themeFillTint="99"/>
            <w:noWrap/>
            <w:hideMark/>
          </w:tcPr>
          <w:p w:rsidR="000862DC" w:rsidRPr="00C63DF8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9CC2E5" w:themeFill="accent1" w:themeFillTint="99"/>
            <w:noWrap/>
            <w:hideMark/>
          </w:tcPr>
          <w:p w:rsidR="000862DC" w:rsidRPr="00C63DF8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</w:tr>
      <w:tr w:rsidR="000862DC" w:rsidRPr="00C63DF8" w:rsidTr="00BB633C">
        <w:trPr>
          <w:trHeight w:val="674"/>
        </w:trPr>
        <w:tc>
          <w:tcPr>
            <w:tcW w:w="2011" w:type="dxa"/>
            <w:vMerge w:val="restart"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учреждения, направленная на работу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3DF8">
              <w:rPr>
                <w:rFonts w:ascii="Times New Roman" w:hAnsi="Times New Roman" w:cs="Times New Roman"/>
                <w:sz w:val="20"/>
                <w:szCs w:val="20"/>
              </w:rPr>
              <w:t>с кадрами</w:t>
            </w:r>
          </w:p>
        </w:tc>
        <w:tc>
          <w:tcPr>
            <w:tcW w:w="5219" w:type="dxa"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законодательства Российской Федерации о повышении квалификации и о профессиональной подготовке работников</w:t>
            </w:r>
          </w:p>
        </w:tc>
        <w:tc>
          <w:tcPr>
            <w:tcW w:w="993" w:type="dxa"/>
            <w:noWrap/>
            <w:hideMark/>
          </w:tcPr>
          <w:p w:rsidR="000862DC" w:rsidRPr="00C63DF8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C63DF8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C63DF8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1109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F7CAAC" w:themeFill="accent2" w:themeFillTint="66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(сохранение на уровне 100%) доли профессорско-преподавательского состава (далее – ППС), имеющих ученую степень и (или) ученое звание, от общего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количества ППС по отношению к предыдущему году </w:t>
            </w:r>
            <w:r w:rsidRPr="002F58B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</w:tc>
        <w:tc>
          <w:tcPr>
            <w:tcW w:w="993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0862DC" w:rsidRPr="00C63DF8" w:rsidTr="00BB633C">
        <w:trPr>
          <w:trHeight w:val="515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F7CAAC" w:themeFill="accent2" w:themeFillTint="66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первичной профсоюзной организации, объединяющей более 50% работников </w:t>
            </w:r>
            <w:r w:rsidRPr="002F58B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  <w:tc>
          <w:tcPr>
            <w:tcW w:w="993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0862DC" w:rsidRPr="00C63DF8" w:rsidTr="00BB633C">
        <w:trPr>
          <w:trHeight w:val="9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Обеспечение роста среднемесячной заработной платы работников учреждения (без учета внешних совместителей) по сравнению с годом, предшествующим отчетному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479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профилактике и противодействию коррупции в учреждении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699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доли педагогических работников в возрасте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до 35 лет в общей численности педагогических работников организации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567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F7CAAC" w:themeFill="accent2" w:themeFillTint="66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Доля фонда оплаты труда руководящих работников в общем фонде оплаты труда работников организаций </w:t>
            </w:r>
            <w:r w:rsidRPr="002F58B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endnoteReference w:id="3"/>
            </w:r>
          </w:p>
        </w:tc>
        <w:tc>
          <w:tcPr>
            <w:tcW w:w="993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0862DC" w:rsidRPr="00C63DF8" w:rsidTr="00BB633C">
        <w:trPr>
          <w:trHeight w:val="547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F7CAAC" w:themeFill="accent2" w:themeFillTint="66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количества обучающихся в расчете на 1 работника образовательной организации </w:t>
            </w:r>
            <w:r w:rsidRPr="002F58B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endnoteReference w:id="4"/>
            </w:r>
          </w:p>
        </w:tc>
        <w:tc>
          <w:tcPr>
            <w:tcW w:w="993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0862DC" w:rsidRPr="00C63DF8" w:rsidTr="00BB633C">
        <w:trPr>
          <w:trHeight w:val="555"/>
        </w:trPr>
        <w:tc>
          <w:tcPr>
            <w:tcW w:w="2011" w:type="dxa"/>
            <w:vMerge w:val="restart"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sz w:val="20"/>
                <w:szCs w:val="20"/>
              </w:rPr>
              <w:t>Качество управления государственным имуществом учреждения</w:t>
            </w: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Осуществление регистрации вещных прав на переданные учреждению земельные участки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705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ремонта (текущий, аварийный) капитальный) в соответствии с планами капитального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и текущего ремонтов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403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F7CAAC" w:themeFill="accent2" w:themeFillTint="66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регистрации вещных прав на переданные учреждению объекты недвижимого имущества </w:t>
            </w:r>
            <w:r w:rsidRPr="002F58B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endnoteReference w:id="5"/>
            </w:r>
          </w:p>
        </w:tc>
        <w:tc>
          <w:tcPr>
            <w:tcW w:w="993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</w:tr>
      <w:tr w:rsidR="000862DC" w:rsidRPr="00C63DF8" w:rsidTr="00BB633C">
        <w:trPr>
          <w:trHeight w:val="3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Отсутствие неиспользуемого недвижимого имущества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3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Отсутствие неиспользуемого особо-ценного движимого имущества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6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Обеспечение качественного обслуживания и эксплуатации зданий, находящихся в оперативном управлении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729"/>
        </w:trPr>
        <w:tc>
          <w:tcPr>
            <w:tcW w:w="2011" w:type="dxa"/>
            <w:vMerge w:val="restart"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sz w:val="20"/>
                <w:szCs w:val="20"/>
              </w:rPr>
              <w:t>Основная деятельность учреждения</w:t>
            </w: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Результативность исполнения государственного задания учреждением на оказание государственных услуг (выполнение работ)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98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Отсутствие случаев травматизма, признанных в установленном порядке несчастными случаями на производстве, полученных вследствие нарушений учреждением требований по охране труда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1547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Доля слушателей, завершивших обучение по дополнительным профессиональным программам повышения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и переподготовки и получивших удостоверение, диплом, от общего количества слушателей, приступивших к освоению </w:t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профессиональных программ повышения квалификации и переподготовки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3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F7CAAC" w:themeFill="accent2" w:themeFillTint="66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информационной открытости учреждения </w:t>
            </w:r>
            <w:r w:rsidRPr="002F58B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endnoteReference w:id="6"/>
            </w:r>
          </w:p>
        </w:tc>
        <w:tc>
          <w:tcPr>
            <w:tcW w:w="993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0862DC" w:rsidRPr="00C63DF8" w:rsidTr="00BB633C">
        <w:trPr>
          <w:trHeight w:val="3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Своевременная подготовка учреждения к новому учебному году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931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Организация и (или) проведение всероссийских, межрегиональных олимпиад, конкурсов, проектов, выставок, фестивалей с участием обучающихся (воспитанников)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сотрудников учреждения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3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пропускного и </w:t>
            </w:r>
            <w:proofErr w:type="spellStart"/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внутриобъектового</w:t>
            </w:r>
            <w:proofErr w:type="spellEnd"/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 режима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6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письменных жалоб, поступивших от граждан и учреждений на качество оказания услуг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12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Наличие в учреждении чрезвычайных ситуаций, возникших по вине учреждения и (или) его сотрудников, в результате которых жизнь и здоровье обучающихся (воспитанников), сотрудников учреждения были подвергнуты риску (2)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6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Отсутствие преступлений или правонарушений, зафиксированных в правоохранительных органах, среди обучающихся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2171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Количество статей, изданных в научной периодике, индексируемой иностранными и российскими организациями (</w:t>
            </w:r>
            <w:proofErr w:type="spellStart"/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, Российский индекс цитирования), в российских рецензируемых научных журналах, включенных в перечень Высшей аттестационной комиссии при Министерстве науки и высшего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к общей штатной численности профессорско-преподавательского состава учреждения, приведенной к полной ставке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712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Организация научно-методической работы, в том числе организация и проведение научных и методических конференций, семинаров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411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с общественными организациями, в том числе волонтерскими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14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Доля реализуемых программ дополнительного </w:t>
            </w:r>
            <w:proofErr w:type="spellStart"/>
            <w:proofErr w:type="gramStart"/>
            <w:r w:rsidRPr="002F58B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профессио</w:t>
            </w:r>
            <w:proofErr w:type="spellEnd"/>
            <w:r w:rsidRPr="002F58B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  <w:r w:rsidRPr="002F58B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</w:r>
            <w:proofErr w:type="spellStart"/>
            <w:r w:rsidRPr="002F58B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нального</w:t>
            </w:r>
            <w:proofErr w:type="spellEnd"/>
            <w:proofErr w:type="gramEnd"/>
            <w:r w:rsidRPr="002F58B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педагогического образования, размещенных в федеральном реестре образовательных программ дополнительного профессионального образования, в общем количестве реализуемых программ дополнительного профессионального педагогического образования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1122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Доля слушателей, завершивших обучение по программам из федерального реестра образовательных программ дополнительного профессионального образования, в общей численности </w:t>
            </w:r>
            <w:proofErr w:type="gramStart"/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слушателей ,</w:t>
            </w:r>
            <w:proofErr w:type="gramEnd"/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 прошедших программы повышения квалификации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388"/>
        </w:trPr>
        <w:tc>
          <w:tcPr>
            <w:tcW w:w="2011" w:type="dxa"/>
            <w:vMerge w:val="restart"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3DF8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Финансово-экономическая деятельность учреждения</w:t>
            </w: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неисполненных предписаний контрольных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и надзорных органов, срок исполнения которых истек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493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Удельный вес закупок, проведенных с использованием конкурсных процедур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685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Отсутствие выставленных (предъявленных к исполнению)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</w:r>
            <w:r w:rsidRPr="002F58B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течение отчетного периода исполнительных листов по обязательствам учреждения и решений налоговых органов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6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Отсутствие просроченной кредиторской задолженности по всем видам финансового обеспечения в течение отчетного периода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481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Соблюдение сроков представления отчетности в течение отчетного периода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6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порядка и качества представления бюджетной и бухгалтерской отчетности в течение отчетного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периода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9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Привлечение дополнительных источников финансирования, включая гранты, для развития материально-технической базы учреждений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1065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Отсутствие выставленных требований на возмещение ущерба по недостачам и хищениям материальных ценностей, денежных средств, а также порчи материальных ценностей по результатам проверок (инвентаризации)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771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локального нормативного акта учреждения,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регулирующего организацию внутреннего финансового контроля в учреждении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413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не погашенной кредиторской задолженности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перед учредителем (кроме субсидий)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1012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Наличие выявленных нарушений по результатам проверок органов государственного (муниципального) финансового контроля (контрольно-счетных органов, органов государственного финансового контроля)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707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выявленных в ходе проверки системных нарушений требований законодательства РФ, включенных в акт проверки Министерства образования 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419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Наличие решений уполномоченных органов о возврате бюджетных средств 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824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F7CAAC" w:themeFill="accent2" w:themeFillTint="66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выявленных в ходе проверки нарушений требований законодательства РФ, включенных в акт проверки Министерства образования </w:t>
            </w:r>
            <w:r w:rsidRPr="002F58B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endnoteReference w:id="7"/>
            </w:r>
          </w:p>
        </w:tc>
        <w:tc>
          <w:tcPr>
            <w:tcW w:w="993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665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Несоблюдение сроков и объема возврата субсидии на финансовое обеспечение выполнения государственного задания в установленных случаях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9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Несоблюдение сроков возврата не использованных по состоянию на 1 января текущего финансового года остатков средств целевой субсидии, потребность в которых не подтверждена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73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Привлечение дополнительных источников финансирования, включая гранты, для развития материально-технической базы учреждений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12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выявленных в ходе проверки грубых нарушений требований законодательства РФ, включенных в акт проверки Министерства образования, переданный в Прокуратуру СО, правоохранительные органы, Министерство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финансов СО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489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shd w:val="clear" w:color="auto" w:fill="F7CAAC" w:themeFill="accent2" w:themeFillTint="66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доли внебюджетных средств в общем объеме финансирования образовательных организаций </w:t>
            </w:r>
            <w:r w:rsidRPr="002F58BA">
              <w:rPr>
                <w:rStyle w:val="a7"/>
                <w:rFonts w:ascii="Times New Roman" w:hAnsi="Times New Roman" w:cs="Times New Roman"/>
                <w:sz w:val="20"/>
                <w:szCs w:val="20"/>
              </w:rPr>
              <w:endnoteReference w:id="8"/>
            </w:r>
          </w:p>
        </w:tc>
        <w:tc>
          <w:tcPr>
            <w:tcW w:w="993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992" w:type="dxa"/>
            <w:shd w:val="clear" w:color="auto" w:fill="F7CAAC" w:themeFill="accent2" w:themeFillTint="66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862DC" w:rsidRPr="00C63DF8" w:rsidTr="00BB633C">
        <w:trPr>
          <w:trHeight w:val="12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вступивших в законную силу постановлений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по делам об административных правонарушениях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о назначении наказания учреждению и /или должностному лицу учреждения за совершение административных правонарушений в сфере закупок.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862DC" w:rsidRPr="00C63DF8" w:rsidTr="00BB633C">
        <w:trPr>
          <w:trHeight w:val="1800"/>
        </w:trPr>
        <w:tc>
          <w:tcPr>
            <w:tcW w:w="2011" w:type="dxa"/>
            <w:vMerge/>
            <w:hideMark/>
          </w:tcPr>
          <w:p w:rsidR="000862DC" w:rsidRPr="00C63DF8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hideMark/>
          </w:tcPr>
          <w:p w:rsidR="000862DC" w:rsidRPr="002F58BA" w:rsidRDefault="000862DC" w:rsidP="00BB633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Наличие не признанных недействительными (неотмененных) актов органов, уполномоченных на осуществление контроля (надзора), в том числе Министерства, содержащих выводы о неэффективном использовании и (или) нецелевом расходовании бюджетных средств, нарушениях порядка и (или) условий предоставления субсидий</w:t>
            </w:r>
          </w:p>
        </w:tc>
        <w:tc>
          <w:tcPr>
            <w:tcW w:w="993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hideMark/>
          </w:tcPr>
          <w:p w:rsidR="000862DC" w:rsidRPr="002F58BA" w:rsidRDefault="000862DC" w:rsidP="00BB633C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8B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0862DC" w:rsidRPr="00856D20" w:rsidRDefault="000862DC" w:rsidP="000862DC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2DC" w:rsidRPr="00775045" w:rsidRDefault="000862DC" w:rsidP="000862DC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363ED" w:rsidRDefault="009363ED"/>
    <w:sectPr w:rsidR="009363ED" w:rsidSect="00531B98">
      <w:headerReference w:type="default" r:id="rId6"/>
      <w:pgSz w:w="11906" w:h="16838"/>
      <w:pgMar w:top="1134" w:right="850" w:bottom="1134" w:left="1701" w:header="680" w:footer="6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09" w:rsidRDefault="00494B09" w:rsidP="000862DC">
      <w:pPr>
        <w:spacing w:after="0" w:line="240" w:lineRule="auto"/>
      </w:pPr>
      <w:r>
        <w:separator/>
      </w:r>
    </w:p>
  </w:endnote>
  <w:endnote w:type="continuationSeparator" w:id="0">
    <w:p w:rsidR="00494B09" w:rsidRDefault="00494B09" w:rsidP="000862DC">
      <w:pPr>
        <w:spacing w:after="0" w:line="240" w:lineRule="auto"/>
      </w:pPr>
      <w:r>
        <w:continuationSeparator/>
      </w:r>
    </w:p>
  </w:endnote>
  <w:endnote w:id="1">
    <w:p w:rsidR="000862DC" w:rsidRPr="00CE610B" w:rsidRDefault="000862DC" w:rsidP="000862DC">
      <w:pPr>
        <w:pStyle w:val="a5"/>
        <w:ind w:firstLine="426"/>
        <w:jc w:val="both"/>
        <w:rPr>
          <w:rFonts w:ascii="Times New Roman" w:hAnsi="Times New Roman" w:cs="Times New Roman"/>
        </w:rPr>
      </w:pPr>
      <w:r w:rsidRPr="00CE610B">
        <w:rPr>
          <w:rStyle w:val="a7"/>
          <w:rFonts w:ascii="Times New Roman" w:hAnsi="Times New Roman" w:cs="Times New Roman"/>
        </w:rPr>
        <w:endnoteRef/>
      </w:r>
      <w:r w:rsidRPr="00CE610B">
        <w:rPr>
          <w:rFonts w:ascii="Times New Roman" w:hAnsi="Times New Roman" w:cs="Times New Roman"/>
        </w:rPr>
        <w:t xml:space="preserve"> По итогам 2020 и 2022 года было выявлено снижение доли педагогических работников, имеющих ученую степень (и) или ученое звание. В соответствии с п. 9 Приказа Министерства здравоохранения и социального развития РФ от 11 января 2011 г. № 1 на должности профессорско-преподавательского состава приняты лица, не имеющие специальной подготовки (ученого звания и (или) ученой степени, установленных в разделе «Требования к квалификации), но обладающие достаточным практическим опытом и выполняющие качественно и в полном объеме возложенные на них должностные обязанности. </w:t>
      </w:r>
    </w:p>
  </w:endnote>
  <w:endnote w:id="2">
    <w:p w:rsidR="000862DC" w:rsidRPr="00CE610B" w:rsidRDefault="000862DC" w:rsidP="000862DC">
      <w:pPr>
        <w:pStyle w:val="a5"/>
        <w:ind w:firstLine="426"/>
        <w:jc w:val="both"/>
        <w:rPr>
          <w:rFonts w:ascii="Times New Roman" w:hAnsi="Times New Roman" w:cs="Times New Roman"/>
          <w:color w:val="FF0000"/>
        </w:rPr>
      </w:pPr>
      <w:r w:rsidRPr="00CE610B">
        <w:rPr>
          <w:rStyle w:val="a7"/>
          <w:rFonts w:ascii="Times New Roman" w:hAnsi="Times New Roman" w:cs="Times New Roman"/>
        </w:rPr>
        <w:endnoteRef/>
      </w:r>
      <w:r w:rsidRPr="00CE610B">
        <w:rPr>
          <w:rFonts w:ascii="Times New Roman" w:hAnsi="Times New Roman" w:cs="Times New Roman"/>
        </w:rPr>
        <w:t xml:space="preserve"> В Институте зарегистрирована первичная профсоюзная организация, объединяющая на протяжении 2020-2022 гг. менее 50% от общей численности сотрудников. Среди причин отказа вступления в профсоюз чаще всего называются следующие причины: отсутствие смысла платить взносы, отсутствие личной необходимости в предоставляемых профсоюзом мерах социальной поддержки, нежелание поддерживать вышестоящие профсоюзные структуры. В настоящее время в Институте за три года обеспечен существенный рос</w:t>
      </w:r>
      <w:r>
        <w:rPr>
          <w:rFonts w:ascii="Times New Roman" w:hAnsi="Times New Roman" w:cs="Times New Roman"/>
        </w:rPr>
        <w:t>т численности членов профсоюза до</w:t>
      </w:r>
      <w:r w:rsidRPr="00CE610B">
        <w:rPr>
          <w:rFonts w:ascii="Times New Roman" w:hAnsi="Times New Roman" w:cs="Times New Roman"/>
        </w:rPr>
        <w:t xml:space="preserve"> 44% (при 14% в 2020 г.). Работа по привлечению сотрудников в состав первичной профсоюзной организации активно продолжается.</w:t>
      </w:r>
    </w:p>
  </w:endnote>
  <w:endnote w:id="3">
    <w:p w:rsidR="000862DC" w:rsidRPr="00CE610B" w:rsidRDefault="000862DC" w:rsidP="000862DC">
      <w:pPr>
        <w:pStyle w:val="a5"/>
        <w:ind w:firstLine="426"/>
        <w:jc w:val="both"/>
        <w:rPr>
          <w:rFonts w:ascii="Times New Roman" w:hAnsi="Times New Roman" w:cs="Times New Roman"/>
        </w:rPr>
      </w:pPr>
      <w:r w:rsidRPr="00CE610B">
        <w:rPr>
          <w:rStyle w:val="a7"/>
          <w:rFonts w:ascii="Times New Roman" w:hAnsi="Times New Roman" w:cs="Times New Roman"/>
        </w:rPr>
        <w:endnoteRef/>
      </w:r>
      <w:r w:rsidRPr="00CE610B">
        <w:rPr>
          <w:rFonts w:ascii="Times New Roman" w:hAnsi="Times New Roman" w:cs="Times New Roman"/>
        </w:rPr>
        <w:t xml:space="preserve"> Доля фонда оплаты труда руководящих работников в общем фонде оплаты труда работников Института составляет 40%. Неисполнение показателя обосновано особенностями организационной структуры учреждения, которая сформирована с учетом специфики государственного задания, а именно его многозадачности и </w:t>
      </w:r>
      <w:proofErr w:type="spellStart"/>
      <w:r w:rsidRPr="00CE610B">
        <w:rPr>
          <w:rFonts w:ascii="Times New Roman" w:hAnsi="Times New Roman" w:cs="Times New Roman"/>
        </w:rPr>
        <w:t>разноплановости</w:t>
      </w:r>
      <w:proofErr w:type="spellEnd"/>
      <w:r w:rsidRPr="00CE610B">
        <w:rPr>
          <w:rFonts w:ascii="Times New Roman" w:hAnsi="Times New Roman" w:cs="Times New Roman"/>
        </w:rPr>
        <w:t xml:space="preserve"> мероприятий государственных услуг и работ.</w:t>
      </w:r>
    </w:p>
  </w:endnote>
  <w:endnote w:id="4">
    <w:p w:rsidR="000862DC" w:rsidRPr="00CE610B" w:rsidRDefault="000862DC" w:rsidP="000862DC">
      <w:pPr>
        <w:pStyle w:val="a5"/>
        <w:ind w:firstLine="426"/>
        <w:jc w:val="both"/>
        <w:rPr>
          <w:rFonts w:ascii="Times New Roman" w:hAnsi="Times New Roman" w:cs="Times New Roman"/>
        </w:rPr>
      </w:pPr>
      <w:r w:rsidRPr="00CE610B">
        <w:rPr>
          <w:rStyle w:val="a7"/>
          <w:rFonts w:ascii="Times New Roman" w:hAnsi="Times New Roman" w:cs="Times New Roman"/>
        </w:rPr>
        <w:endnoteRef/>
      </w:r>
      <w:r w:rsidRPr="00CE610B">
        <w:rPr>
          <w:rFonts w:ascii="Times New Roman" w:hAnsi="Times New Roman" w:cs="Times New Roman"/>
        </w:rPr>
        <w:t xml:space="preserve"> Неисполнение показателя обусловлено необходимостью сокращения </w:t>
      </w:r>
      <w:proofErr w:type="gramStart"/>
      <w:r w:rsidRPr="00CE610B">
        <w:rPr>
          <w:rFonts w:ascii="Times New Roman" w:hAnsi="Times New Roman" w:cs="Times New Roman"/>
        </w:rPr>
        <w:t>количества</w:t>
      </w:r>
      <w:proofErr w:type="gramEnd"/>
      <w:r w:rsidRPr="00CE610B">
        <w:rPr>
          <w:rFonts w:ascii="Times New Roman" w:hAnsi="Times New Roman" w:cs="Times New Roman"/>
        </w:rPr>
        <w:t xml:space="preserve"> реализуемых дополнительных профессиональных программ ввиду их укрупнения путем объединения программ от 16 до 24 часов в вариативные модули, что в свою очередь привело к сокращению общего числа слушателей. Данные меры предпринимаются Институтом в целях выполнения показателя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образования, утвержденного распоряжением </w:t>
      </w:r>
      <w:proofErr w:type="spellStart"/>
      <w:r w:rsidRPr="00CE610B">
        <w:rPr>
          <w:rFonts w:ascii="Times New Roman" w:hAnsi="Times New Roman" w:cs="Times New Roman"/>
        </w:rPr>
        <w:t>Минпросвещения</w:t>
      </w:r>
      <w:proofErr w:type="spellEnd"/>
      <w:r w:rsidRPr="00CE610B">
        <w:rPr>
          <w:rFonts w:ascii="Times New Roman" w:hAnsi="Times New Roman" w:cs="Times New Roman"/>
        </w:rPr>
        <w:t xml:space="preserve"> России от 01.09.2021 № Р-210. </w:t>
      </w:r>
    </w:p>
  </w:endnote>
  <w:endnote w:id="5">
    <w:p w:rsidR="000862DC" w:rsidRPr="00CE610B" w:rsidRDefault="000862DC" w:rsidP="000862DC">
      <w:pPr>
        <w:pStyle w:val="a5"/>
        <w:ind w:firstLine="426"/>
        <w:jc w:val="both"/>
        <w:rPr>
          <w:rFonts w:ascii="Times New Roman" w:hAnsi="Times New Roman" w:cs="Times New Roman"/>
        </w:rPr>
      </w:pPr>
      <w:r w:rsidRPr="00CE610B">
        <w:rPr>
          <w:rStyle w:val="a7"/>
          <w:rFonts w:ascii="Times New Roman" w:hAnsi="Times New Roman" w:cs="Times New Roman"/>
        </w:rPr>
        <w:endnoteRef/>
      </w:r>
      <w:r w:rsidRPr="00CE610B">
        <w:rPr>
          <w:rFonts w:ascii="Times New Roman" w:hAnsi="Times New Roman" w:cs="Times New Roman"/>
        </w:rPr>
        <w:t xml:space="preserve"> В 2022 году выявлено отсутствие регистрации вещных прав на один из переданных учреждению объектов недвижимого имущества - гараж, который был построен в 2000 г. хоз. способом. В связи с тем, что отсутствует проектная и разрешительная </w:t>
      </w:r>
      <w:r>
        <w:rPr>
          <w:rFonts w:ascii="Times New Roman" w:hAnsi="Times New Roman" w:cs="Times New Roman"/>
        </w:rPr>
        <w:t xml:space="preserve">документация </w:t>
      </w:r>
      <w:r w:rsidRPr="00CE610B">
        <w:rPr>
          <w:rFonts w:ascii="Times New Roman" w:hAnsi="Times New Roman" w:cs="Times New Roman"/>
        </w:rPr>
        <w:t xml:space="preserve">на ввод объекта в эксплуатацию, регистрация вещных прав на данный объект невозможна.  </w:t>
      </w:r>
    </w:p>
  </w:endnote>
  <w:endnote w:id="6">
    <w:p w:rsidR="000862DC" w:rsidRPr="00CE610B" w:rsidRDefault="000862DC" w:rsidP="000862DC">
      <w:pPr>
        <w:pStyle w:val="a5"/>
        <w:ind w:firstLine="426"/>
        <w:jc w:val="both"/>
        <w:rPr>
          <w:rFonts w:ascii="Times New Roman" w:hAnsi="Times New Roman" w:cs="Times New Roman"/>
        </w:rPr>
      </w:pPr>
      <w:r w:rsidRPr="00CE610B">
        <w:rPr>
          <w:rStyle w:val="a7"/>
          <w:rFonts w:ascii="Times New Roman" w:hAnsi="Times New Roman" w:cs="Times New Roman"/>
        </w:rPr>
        <w:endnoteRef/>
      </w:r>
      <w:r w:rsidRPr="00CE610B">
        <w:rPr>
          <w:rFonts w:ascii="Times New Roman" w:hAnsi="Times New Roman" w:cs="Times New Roman"/>
        </w:rPr>
        <w:t xml:space="preserve"> Максимальный процент исполнения по показателю не был достигнут в связи с поздним размещением информации на сайте </w:t>
      </w:r>
      <w:r w:rsidRPr="00CE610B">
        <w:rPr>
          <w:rFonts w:ascii="Times New Roman" w:hAnsi="Times New Roman" w:cs="Times New Roman"/>
          <w:lang w:val="en-US"/>
        </w:rPr>
        <w:t>bus</w:t>
      </w:r>
      <w:r w:rsidRPr="00CE610B">
        <w:rPr>
          <w:rFonts w:ascii="Times New Roman" w:hAnsi="Times New Roman" w:cs="Times New Roman"/>
        </w:rPr>
        <w:t>.</w:t>
      </w:r>
      <w:proofErr w:type="spellStart"/>
      <w:r w:rsidRPr="00CE610B">
        <w:rPr>
          <w:rFonts w:ascii="Times New Roman" w:hAnsi="Times New Roman" w:cs="Times New Roman"/>
          <w:lang w:val="en-US"/>
        </w:rPr>
        <w:t>gov</w:t>
      </w:r>
      <w:proofErr w:type="spellEnd"/>
      <w:r w:rsidRPr="00CE610B">
        <w:rPr>
          <w:rFonts w:ascii="Times New Roman" w:hAnsi="Times New Roman" w:cs="Times New Roman"/>
        </w:rPr>
        <w:t>.</w:t>
      </w:r>
      <w:proofErr w:type="spellStart"/>
      <w:r w:rsidRPr="00CE610B">
        <w:rPr>
          <w:rFonts w:ascii="Times New Roman" w:hAnsi="Times New Roman" w:cs="Times New Roman"/>
          <w:lang w:val="en-US"/>
        </w:rPr>
        <w:t>ru</w:t>
      </w:r>
      <w:proofErr w:type="spellEnd"/>
      <w:r w:rsidRPr="00CE610B">
        <w:rPr>
          <w:rFonts w:ascii="Times New Roman" w:hAnsi="Times New Roman" w:cs="Times New Roman"/>
        </w:rPr>
        <w:t xml:space="preserve">. В учреждении проведена работа по недопущению повторных нарушений. </w:t>
      </w:r>
    </w:p>
  </w:endnote>
  <w:endnote w:id="7">
    <w:p w:rsidR="000862DC" w:rsidRPr="00CE610B" w:rsidRDefault="000862DC" w:rsidP="000862DC">
      <w:pPr>
        <w:pStyle w:val="a5"/>
        <w:ind w:firstLine="426"/>
        <w:jc w:val="both"/>
        <w:rPr>
          <w:rFonts w:ascii="Times New Roman" w:hAnsi="Times New Roman" w:cs="Times New Roman"/>
        </w:rPr>
      </w:pPr>
      <w:r w:rsidRPr="00CE610B">
        <w:rPr>
          <w:rStyle w:val="a7"/>
          <w:rFonts w:ascii="Times New Roman" w:hAnsi="Times New Roman" w:cs="Times New Roman"/>
        </w:rPr>
        <w:endnoteRef/>
      </w:r>
      <w:r w:rsidRPr="00CE610B">
        <w:rPr>
          <w:rFonts w:ascii="Times New Roman" w:hAnsi="Times New Roman" w:cs="Times New Roman"/>
        </w:rPr>
        <w:t xml:space="preserve"> На основании приказа Министерства образования от 14.01.2021 № 5-И «О проведении проверки соблюдения законодательства по оплате труда руководителей государственных учреждений Свердловской области, подведомственных Министерству образования и молодежной политики Свердловской области», в 2021 году были выявлены нарушения в части соблюдения законодательства по оплате труда. Нарушения были устранены, проведена работа по недопущению повторных нарушений.</w:t>
      </w:r>
    </w:p>
  </w:endnote>
  <w:endnote w:id="8">
    <w:p w:rsidR="000862DC" w:rsidRPr="00CE610B" w:rsidRDefault="000862DC" w:rsidP="000862DC">
      <w:pPr>
        <w:pStyle w:val="a5"/>
        <w:ind w:firstLine="426"/>
        <w:jc w:val="both"/>
      </w:pPr>
      <w:r w:rsidRPr="00CE610B">
        <w:rPr>
          <w:rStyle w:val="a7"/>
          <w:rFonts w:ascii="Times New Roman" w:hAnsi="Times New Roman" w:cs="Times New Roman"/>
        </w:rPr>
        <w:endnoteRef/>
      </w:r>
      <w:r w:rsidRPr="00CE610B">
        <w:rPr>
          <w:rFonts w:ascii="Times New Roman" w:hAnsi="Times New Roman" w:cs="Times New Roman"/>
        </w:rPr>
        <w:t xml:space="preserve"> Максимальный процент исполнения показателя не был достигнут в связи с тем, что доля внебюджетных средств в общем объеме в 2021 году сохранилась на уровне 2020 года. Несмотря на увеличение доходов по внебю</w:t>
      </w:r>
      <w:r>
        <w:rPr>
          <w:rFonts w:ascii="Times New Roman" w:hAnsi="Times New Roman" w:cs="Times New Roman"/>
        </w:rPr>
        <w:t>джетной деятельности, увеличения</w:t>
      </w:r>
      <w:r w:rsidRPr="00CE610B">
        <w:rPr>
          <w:rFonts w:ascii="Times New Roman" w:hAnsi="Times New Roman" w:cs="Times New Roman"/>
        </w:rPr>
        <w:t xml:space="preserve"> не произошло в связи с расширением финансирования по государственному заданию и субсидиям на иные цели. По согласованию с Министерством данный показатель исключен из отчета с 2022 года в связи с тем, что показатель не характеризует изменение поступлений </w:t>
      </w:r>
      <w:r>
        <w:rPr>
          <w:rFonts w:ascii="Times New Roman" w:hAnsi="Times New Roman" w:cs="Times New Roman"/>
        </w:rPr>
        <w:br/>
      </w:r>
      <w:r w:rsidRPr="00CE610B">
        <w:rPr>
          <w:rFonts w:ascii="Times New Roman" w:hAnsi="Times New Roman" w:cs="Times New Roman"/>
        </w:rPr>
        <w:t xml:space="preserve">по </w:t>
      </w:r>
      <w:proofErr w:type="spellStart"/>
      <w:r w:rsidRPr="00CE610B">
        <w:rPr>
          <w:rFonts w:ascii="Times New Roman" w:hAnsi="Times New Roman" w:cs="Times New Roman"/>
        </w:rPr>
        <w:t>внебюджету</w:t>
      </w:r>
      <w:proofErr w:type="spellEnd"/>
      <w:r w:rsidRPr="00CE610B">
        <w:rPr>
          <w:rFonts w:ascii="Times New Roman" w:hAnsi="Times New Roman" w:cs="Times New Roman"/>
        </w:rPr>
        <w:t xml:space="preserve"> в полном объеме.</w:t>
      </w:r>
      <w:r w:rsidRPr="00CE610B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09" w:rsidRDefault="00494B09" w:rsidP="000862DC">
      <w:pPr>
        <w:spacing w:after="0" w:line="240" w:lineRule="auto"/>
      </w:pPr>
      <w:r>
        <w:separator/>
      </w:r>
    </w:p>
  </w:footnote>
  <w:footnote w:type="continuationSeparator" w:id="0">
    <w:p w:rsidR="00494B09" w:rsidRDefault="00494B09" w:rsidP="0008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DC" w:rsidRDefault="000862DC" w:rsidP="000862DC">
    <w:pPr>
      <w:pStyle w:val="a9"/>
      <w:jc w:val="right"/>
    </w:pPr>
    <w:r>
      <w:t>МЛ189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DC"/>
    <w:rsid w:val="000862DC"/>
    <w:rsid w:val="00494B09"/>
    <w:rsid w:val="0093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E8D47-E8FF-4182-971E-941EC319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DC"/>
    <w:pPr>
      <w:suppressAutoHyphens/>
    </w:pPr>
  </w:style>
  <w:style w:type="paragraph" w:styleId="1">
    <w:name w:val="heading 1"/>
    <w:basedOn w:val="a"/>
    <w:next w:val="a0"/>
    <w:link w:val="10"/>
    <w:uiPriority w:val="9"/>
    <w:qFormat/>
    <w:rsid w:val="000862DC"/>
    <w:pPr>
      <w:keepNext/>
      <w:spacing w:before="3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862DC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table" w:styleId="a4">
    <w:name w:val="Table Grid"/>
    <w:basedOn w:val="a2"/>
    <w:uiPriority w:val="39"/>
    <w:rsid w:val="000862D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0862DC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1"/>
    <w:link w:val="a5"/>
    <w:uiPriority w:val="99"/>
    <w:semiHidden/>
    <w:rsid w:val="000862DC"/>
    <w:rPr>
      <w:sz w:val="20"/>
      <w:szCs w:val="20"/>
    </w:rPr>
  </w:style>
  <w:style w:type="character" w:styleId="a7">
    <w:name w:val="endnote reference"/>
    <w:basedOn w:val="a1"/>
    <w:uiPriority w:val="99"/>
    <w:semiHidden/>
    <w:unhideWhenUsed/>
    <w:rsid w:val="000862DC"/>
    <w:rPr>
      <w:vertAlign w:val="superscript"/>
    </w:rPr>
  </w:style>
  <w:style w:type="paragraph" w:styleId="a0">
    <w:name w:val="Plain Text"/>
    <w:basedOn w:val="a"/>
    <w:link w:val="a8"/>
    <w:uiPriority w:val="99"/>
    <w:semiHidden/>
    <w:unhideWhenUsed/>
    <w:rsid w:val="000862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1"/>
    <w:link w:val="a0"/>
    <w:uiPriority w:val="99"/>
    <w:semiHidden/>
    <w:rsid w:val="000862DC"/>
    <w:rPr>
      <w:rFonts w:ascii="Consolas" w:hAnsi="Consolas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08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862DC"/>
  </w:style>
  <w:style w:type="paragraph" w:styleId="ab">
    <w:name w:val="footer"/>
    <w:basedOn w:val="a"/>
    <w:link w:val="ac"/>
    <w:uiPriority w:val="99"/>
    <w:unhideWhenUsed/>
    <w:rsid w:val="0008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8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 Андрей Петрович</dc:creator>
  <cp:keywords/>
  <dc:description/>
  <cp:lastModifiedBy>Расторгуев Андрей Петрович</cp:lastModifiedBy>
  <cp:revision>1</cp:revision>
  <dcterms:created xsi:type="dcterms:W3CDTF">2024-03-11T08:58:00Z</dcterms:created>
  <dcterms:modified xsi:type="dcterms:W3CDTF">2024-03-11T08:59:00Z</dcterms:modified>
</cp:coreProperties>
</file>